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1443B">
      <w:pPr>
        <w:jc w:val="center"/>
        <w:rPr>
          <w:rFonts w:hint="eastAsia" w:ascii="宋体" w:hAnsi="宋体" w:cs="黑体"/>
          <w:b/>
          <w:bCs/>
          <w:sz w:val="44"/>
          <w:szCs w:val="44"/>
          <w:highlight w:val="none"/>
          <w:lang w:val="en-US" w:eastAsia="zh-CN"/>
        </w:rPr>
      </w:pPr>
      <w:r>
        <w:rPr>
          <w:rFonts w:hint="eastAsia" w:ascii="宋体" w:hAnsi="宋体" w:eastAsia="宋体" w:cs="黑体"/>
          <w:b/>
          <w:bCs/>
          <w:sz w:val="44"/>
          <w:szCs w:val="44"/>
          <w:highlight w:val="none"/>
          <w:lang w:val="en-US" w:eastAsia="zh-CN"/>
        </w:rPr>
        <w:t>厦门市企业研发</w:t>
      </w:r>
      <w:r>
        <w:rPr>
          <w:rFonts w:hint="eastAsia" w:ascii="宋体" w:hAnsi="宋体" w:cs="黑体"/>
          <w:b/>
          <w:bCs/>
          <w:sz w:val="44"/>
          <w:szCs w:val="44"/>
          <w:highlight w:val="none"/>
          <w:lang w:val="en-US" w:eastAsia="zh-CN"/>
        </w:rPr>
        <w:t>项目</w:t>
      </w:r>
      <w:r>
        <w:rPr>
          <w:rFonts w:hint="eastAsia" w:ascii="宋体" w:hAnsi="宋体" w:eastAsia="宋体" w:cs="黑体"/>
          <w:b/>
          <w:bCs/>
          <w:sz w:val="44"/>
          <w:szCs w:val="44"/>
          <w:highlight w:val="none"/>
          <w:lang w:val="en-US" w:eastAsia="zh-CN"/>
        </w:rPr>
        <w:t>评估工作</w:t>
      </w:r>
      <w:r>
        <w:rPr>
          <w:rFonts w:hint="eastAsia" w:ascii="宋体" w:hAnsi="宋体" w:cs="黑体"/>
          <w:b/>
          <w:bCs/>
          <w:sz w:val="44"/>
          <w:szCs w:val="44"/>
          <w:highlight w:val="none"/>
          <w:lang w:val="en-US" w:eastAsia="zh-CN"/>
        </w:rPr>
        <w:t>手册</w:t>
      </w:r>
    </w:p>
    <w:p w14:paraId="7ECBAC3A">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p>
    <w:p w14:paraId="22EB907C">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为帮助企业更好地享受研发费用税前加计扣除政策，厦门市技术创新协会为企业提供研发项目评估，即：评估企业研发活动是否符合研发费用加计扣除政策的要求。</w:t>
      </w:r>
    </w:p>
    <w:p w14:paraId="4C8E45FD">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1.该项评估为“事前评估”，即评估的项目为税务机关未发函鉴定的项目。</w:t>
      </w:r>
    </w:p>
    <w:p w14:paraId="457C4471">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2.评估意见不作为企业享受研发费用加计扣除政策的前提条件，仅为税务机关在后续管理时提供参考。税务机关对评估意见如有异议，按异议项目流程，发函提请市科技局鉴定。</w:t>
      </w:r>
    </w:p>
    <w:p w14:paraId="1DBED217">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3.同一企业一年只受理一次评估申请，申请评估的项目请一次性全部提出。</w:t>
      </w:r>
    </w:p>
    <w:p w14:paraId="6DA27630">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一、评估依据</w:t>
      </w:r>
    </w:p>
    <w:p w14:paraId="28F8BBFE">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根据研发费用税前加计扣除政策的相关文件，包括但不限于：</w:t>
      </w:r>
    </w:p>
    <w:p w14:paraId="02AC0BA2">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财政部、国家税务总局、科技部关于完善研究开发费用税前加计扣除政策的通知（财税[2015]119号）</w:t>
      </w:r>
    </w:p>
    <w:p w14:paraId="0620C833">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国家税务总局关于企业研究开发费用税前加计扣除政策有关问题的公告（国家税务总局公告2015年第97号）</w:t>
      </w:r>
    </w:p>
    <w:p w14:paraId="369A48A6">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国家税务总局关于发布修订后的〈企业所得税优惠政策事项办理办法〉的公告（国家税务总局公告2018年第23号）</w:t>
      </w:r>
    </w:p>
    <w:p w14:paraId="097412F2">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国家税务总局关于研发费用税前加计扣除归集范围有关问题的公告（2017第40号）</w:t>
      </w:r>
    </w:p>
    <w:p w14:paraId="1B901A27">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研发费用加计扣除政策执行指引（</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.0版）</w:t>
      </w:r>
    </w:p>
    <w:p w14:paraId="7244BD11">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注：国家相关文件有调整的，从其规定。</w:t>
      </w:r>
    </w:p>
    <w:p w14:paraId="1B36983A">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二、评估对象</w:t>
      </w:r>
    </w:p>
    <w:p w14:paraId="0E7A07D2">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已开展研发活动、自愿申请研发项目评估的企业。</w:t>
      </w:r>
    </w:p>
    <w:p w14:paraId="5FA4E587">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三、评估内容</w:t>
      </w:r>
    </w:p>
    <w:p w14:paraId="2DD20BA4">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评估企业提出的拟申报研发费用加计扣除政策的项目是否符合政策要求：</w:t>
      </w:r>
    </w:p>
    <w:p w14:paraId="3980CD2B">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1.评估</w:t>
      </w:r>
      <w:r>
        <w:rPr>
          <w:rFonts w:hint="eastAsia" w:ascii="仿宋" w:hAnsi="仿宋" w:eastAsia="仿宋" w:cs="仿宋"/>
          <w:sz w:val="32"/>
          <w:szCs w:val="32"/>
          <w:lang w:eastAsia="zh-CN"/>
        </w:rPr>
        <w:t>项目是否明确目标、持续进行、系统性管理；项目执行期及目标有边界和可度量。</w:t>
      </w:r>
    </w:p>
    <w:p w14:paraId="3CD42232">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2.评估</w:t>
      </w:r>
      <w:r>
        <w:rPr>
          <w:rFonts w:hint="eastAsia" w:ascii="仿宋" w:hAnsi="仿宋" w:eastAsia="仿宋" w:cs="仿宋"/>
          <w:sz w:val="32"/>
          <w:szCs w:val="32"/>
          <w:lang w:eastAsia="zh-CN"/>
        </w:rPr>
        <w:t>项目是否实质性改进技术、产品（服务）、工艺；不在“不适用税前加计扣除政策的七类活动”中。</w:t>
      </w:r>
    </w:p>
    <w:p w14:paraId="215675DE">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涉及委托开发、合作开发或受托开发等情况，评估相关事项是否符合政策要求。</w:t>
      </w:r>
    </w:p>
    <w:p w14:paraId="32BDD27B">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四、评估流程</w:t>
      </w:r>
    </w:p>
    <w:p w14:paraId="265C9B4F">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企业向评估机构提交评估申请材料。</w:t>
      </w:r>
    </w:p>
    <w:p w14:paraId="5399CB14">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评估机构受理时当场审核申请材料的完整性。材料完整的，予以受理，并详细告知企业做好研发项目评估的准备工作；材料不完整的，不予受理，并一次性告知企业应补充完善的材料。</w:t>
      </w:r>
    </w:p>
    <w:p w14:paraId="3E1CE98E">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3.现场评估前企业应</w:t>
      </w:r>
      <w:r>
        <w:rPr>
          <w:rFonts w:hint="eastAsia" w:ascii="仿宋" w:hAnsi="仿宋" w:eastAsia="仿宋" w:cs="仿宋"/>
          <w:sz w:val="32"/>
          <w:szCs w:val="32"/>
          <w:lang w:eastAsia="zh-CN"/>
        </w:rPr>
        <w:t>收集完整与研发活动相关的所有原始材料，在现场评估时全部提供。</w:t>
      </w:r>
    </w:p>
    <w:p w14:paraId="416E3479">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评估机构与企业商定现场评估时间，组织行业技术专家组成评估专家组；企业提前做好研发项目评估各项准备工作。</w:t>
      </w:r>
    </w:p>
    <w:p w14:paraId="344E1D55">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现场评估专家经听取项目报告、资料审核、现场考察和质询讨论后，形成评估意见，专家签字并由评估机构盖章后发放给企业。</w:t>
      </w:r>
    </w:p>
    <w:p w14:paraId="2F4A0F60">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五、评估材料</w:t>
      </w:r>
    </w:p>
    <w:p w14:paraId="49CA3717">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（一）申请评估时，企业向评估机构提交以下材料：</w:t>
      </w:r>
    </w:p>
    <w:p w14:paraId="0BB1E032">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（申请时先提交1份，胶装。</w:t>
      </w:r>
      <w:r>
        <w:rPr>
          <w:rFonts w:hint="eastAsia" w:ascii="仿宋" w:hAnsi="仿宋" w:eastAsia="仿宋" w:cs="仿宋"/>
          <w:sz w:val="32"/>
          <w:szCs w:val="32"/>
          <w:lang w:val="en-US" w:eastAsia="zh-CN"/>
        </w:rPr>
        <w:t>多个项目时，每个项目材料用色纸或标签隔开</w:t>
      </w:r>
      <w:r>
        <w:rPr>
          <w:rFonts w:hint="eastAsia" w:ascii="仿宋" w:hAnsi="仿宋" w:eastAsia="仿宋" w:cs="仿宋"/>
          <w:sz w:val="32"/>
          <w:szCs w:val="32"/>
          <w:lang w:eastAsia="zh-CN"/>
        </w:rPr>
        <w:t>）：</w:t>
      </w:r>
    </w:p>
    <w:p w14:paraId="136D4130">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1.企业研发项目评估申请书。</w:t>
      </w:r>
    </w:p>
    <w:p w14:paraId="17D8C922">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企业研发项目评估汇总表。</w:t>
      </w:r>
    </w:p>
    <w:p w14:paraId="16F26475">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研究开发项目计划书</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和相应的立项决议文件。</w:t>
      </w:r>
    </w:p>
    <w:p w14:paraId="31873C3D">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研究开发情况及成效</w:t>
      </w:r>
      <w:r>
        <w:rPr>
          <w:rFonts w:hint="eastAsia" w:ascii="仿宋" w:hAnsi="仿宋" w:eastAsia="仿宋" w:cs="仿宋"/>
          <w:sz w:val="32"/>
          <w:szCs w:val="32"/>
          <w:lang w:eastAsia="zh-CN"/>
        </w:rPr>
        <w:t>报告》，内容</w:t>
      </w:r>
      <w:r>
        <w:rPr>
          <w:rFonts w:hint="eastAsia" w:ascii="仿宋" w:hAnsi="仿宋" w:eastAsia="仿宋" w:cs="仿宋"/>
          <w:sz w:val="32"/>
          <w:szCs w:val="32"/>
          <w:lang w:val="en-US" w:eastAsia="zh-CN"/>
        </w:rPr>
        <w:t>包括</w:t>
      </w:r>
      <w:r>
        <w:rPr>
          <w:rFonts w:hint="eastAsia" w:ascii="仿宋" w:hAnsi="仿宋" w:eastAsia="仿宋" w:cs="仿宋"/>
          <w:sz w:val="32"/>
          <w:szCs w:val="32"/>
          <w:lang w:eastAsia="zh-CN"/>
        </w:rPr>
        <w:t>：</w:t>
      </w:r>
    </w:p>
    <w:p w14:paraId="13D1E136">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从立项到申请评估前，该项目开展的主要研究内容，如解决了哪些技术难题，实现了哪些阶段性创新成果（企业提供具体、量化的自证，专家判断。企业可与行业同类竞品和本企业原有同类产品在技术、功能、指标等方面进行对比，证明本项目有独到的创新、非常规性升级）。</w:t>
      </w:r>
    </w:p>
    <w:p w14:paraId="379A98EA">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）完成的项目请说明研发成效。</w:t>
      </w:r>
    </w:p>
    <w:p w14:paraId="0DEB2103">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）未完成的项目请说明下一步研发内容及进度安排。</w:t>
      </w:r>
    </w:p>
    <w:p w14:paraId="072B9F25">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如企业因项目研发申请或授权了自主知识产权，请提供相关证明（含技术说明书）。</w:t>
      </w:r>
    </w:p>
    <w:p w14:paraId="72AC1347">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如企业研发形式为委托开发或合作开发，请提供经科技行政主管部门登记的委托、合作研究开发项目的合同。</w:t>
      </w:r>
    </w:p>
    <w:p w14:paraId="1D408E98">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（二）评估现场，企业须提供以下材料（</w:t>
      </w:r>
      <w:r>
        <w:rPr>
          <w:rFonts w:hint="eastAsia" w:ascii="仿宋" w:hAnsi="仿宋" w:eastAsia="仿宋" w:cs="仿宋"/>
          <w:b/>
          <w:bCs/>
          <w:sz w:val="32"/>
          <w:szCs w:val="32"/>
          <w:lang w:val="en-US" w:eastAsia="zh-CN"/>
        </w:rPr>
        <w:t>原始记录无</w:t>
      </w:r>
      <w:r>
        <w:rPr>
          <w:rFonts w:hint="eastAsia" w:ascii="仿宋" w:hAnsi="仿宋" w:eastAsia="仿宋" w:cs="仿宋"/>
          <w:b/>
          <w:bCs/>
          <w:sz w:val="32"/>
          <w:szCs w:val="32"/>
          <w:lang w:eastAsia="zh-CN"/>
        </w:rPr>
        <w:t>需复印，专家</w:t>
      </w:r>
      <w:r>
        <w:rPr>
          <w:rFonts w:hint="eastAsia" w:ascii="仿宋" w:hAnsi="仿宋" w:eastAsia="仿宋" w:cs="仿宋"/>
          <w:b/>
          <w:bCs/>
          <w:sz w:val="32"/>
          <w:szCs w:val="32"/>
          <w:lang w:val="en-US" w:eastAsia="zh-CN"/>
        </w:rPr>
        <w:t>现场查看</w:t>
      </w:r>
      <w:r>
        <w:rPr>
          <w:rFonts w:hint="eastAsia" w:ascii="仿宋" w:hAnsi="仿宋" w:eastAsia="仿宋" w:cs="仿宋"/>
          <w:b/>
          <w:bCs/>
          <w:sz w:val="32"/>
          <w:szCs w:val="32"/>
          <w:lang w:eastAsia="zh-CN"/>
        </w:rPr>
        <w:t>）：</w:t>
      </w:r>
    </w:p>
    <w:p w14:paraId="2707FB1A">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研发活动原始过程记录及证明，包括但不限于：</w:t>
      </w:r>
    </w:p>
    <w:p w14:paraId="3BCE5EF5">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）与研发目标对应的研发过程不同阶段的原始记录（如设计图纸、软件开发编程记录、配方</w:t>
      </w:r>
      <w:r>
        <w:rPr>
          <w:rFonts w:hint="eastAsia" w:ascii="仿宋" w:hAnsi="仿宋" w:eastAsia="仿宋" w:cs="仿宋"/>
          <w:sz w:val="32"/>
          <w:szCs w:val="32"/>
          <w:lang w:val="en-US" w:eastAsia="zh-CN"/>
        </w:rPr>
        <w:t>调整</w:t>
      </w:r>
      <w:r>
        <w:rPr>
          <w:rFonts w:hint="eastAsia" w:ascii="仿宋" w:hAnsi="仿宋" w:eastAsia="仿宋" w:cs="仿宋"/>
          <w:sz w:val="32"/>
          <w:szCs w:val="32"/>
          <w:lang w:eastAsia="zh-CN"/>
        </w:rPr>
        <w:t>记录等）。</w:t>
      </w:r>
    </w:p>
    <w:p w14:paraId="1C18E904">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）验证是否达到研发目标的不同阶段的原始测试记录（测试记录、测试报告等），完成的项目可提供第三方检测报告、产品应用效果证明、软件系统运行及后台数据等。</w:t>
      </w:r>
    </w:p>
    <w:p w14:paraId="4C3C8A50">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）研发过程变更、修改的原始记录，研发过程讨论沟通原始记录及邮件等；</w:t>
      </w:r>
    </w:p>
    <w:p w14:paraId="5F131209">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）研究开发项目组的编制情况和研发人员名单；</w:t>
      </w:r>
    </w:p>
    <w:p w14:paraId="455DEA1A">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）如企业研发形式为委托开发或合作开发，</w:t>
      </w:r>
      <w:r>
        <w:rPr>
          <w:rFonts w:hint="eastAsia" w:ascii="仿宋" w:hAnsi="仿宋" w:eastAsia="仿宋" w:cs="仿宋"/>
          <w:sz w:val="32"/>
          <w:szCs w:val="32"/>
          <w:lang w:val="en-US" w:eastAsia="zh-CN"/>
        </w:rPr>
        <w:t>请</w:t>
      </w:r>
      <w:r>
        <w:rPr>
          <w:rFonts w:hint="eastAsia" w:ascii="仿宋" w:hAnsi="仿宋" w:eastAsia="仿宋" w:cs="仿宋"/>
          <w:sz w:val="32"/>
          <w:szCs w:val="32"/>
          <w:lang w:eastAsia="zh-CN"/>
        </w:rPr>
        <w:t>提供合同履行过程相关原始过程记录。</w:t>
      </w:r>
    </w:p>
    <w:p w14:paraId="01B7DB7C">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如项目获得省部级（含厦门市级）科技计划项目立项，</w:t>
      </w:r>
      <w:r>
        <w:rPr>
          <w:rFonts w:hint="eastAsia" w:ascii="仿宋" w:hAnsi="仿宋" w:eastAsia="仿宋" w:cs="仿宋"/>
          <w:sz w:val="32"/>
          <w:szCs w:val="32"/>
          <w:lang w:val="en-US" w:eastAsia="zh-CN"/>
        </w:rPr>
        <w:t>请</w:t>
      </w:r>
      <w:r>
        <w:rPr>
          <w:rFonts w:hint="eastAsia" w:ascii="仿宋" w:hAnsi="仿宋" w:eastAsia="仿宋" w:cs="仿宋"/>
          <w:sz w:val="32"/>
          <w:szCs w:val="32"/>
          <w:lang w:eastAsia="zh-CN"/>
        </w:rPr>
        <w:t>提供详细立项材料、项目执行过程原始记录。</w:t>
      </w:r>
    </w:p>
    <w:p w14:paraId="264B82EB">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企业认为可以佐证的与研发有关的其他材料。</w:t>
      </w:r>
    </w:p>
    <w:p w14:paraId="529D48FB">
      <w:pPr>
        <w:pStyle w:val="3"/>
        <w:widowControl/>
        <w:spacing w:line="540" w:lineRule="atLeast"/>
        <w:ind w:firstLine="640"/>
        <w:rPr>
          <w:rFonts w:hint="eastAsia" w:ascii="黑体" w:hAnsi="黑体" w:eastAsia="黑体" w:cs="仿宋_GB2312"/>
          <w:color w:val="auto"/>
          <w:kern w:val="2"/>
          <w:sz w:val="32"/>
          <w:szCs w:val="32"/>
          <w:highlight w:val="none"/>
        </w:rPr>
      </w:pPr>
      <w:r>
        <w:rPr>
          <w:rFonts w:hint="eastAsia" w:ascii="黑体" w:hAnsi="黑体" w:eastAsia="黑体" w:cs="仿宋_GB2312"/>
          <w:color w:val="auto"/>
          <w:kern w:val="2"/>
          <w:sz w:val="32"/>
          <w:szCs w:val="32"/>
          <w:highlight w:val="none"/>
        </w:rPr>
        <w:t>六、</w:t>
      </w:r>
      <w:r>
        <w:rPr>
          <w:rFonts w:hint="eastAsia" w:ascii="黑体" w:hAnsi="黑体" w:eastAsia="黑体" w:cs="仿宋_GB2312"/>
          <w:color w:val="auto"/>
          <w:kern w:val="2"/>
          <w:sz w:val="32"/>
          <w:szCs w:val="32"/>
          <w:highlight w:val="none"/>
          <w:lang w:val="en-US" w:eastAsia="zh-CN"/>
        </w:rPr>
        <w:t>申请再次评估</w:t>
      </w:r>
    </w:p>
    <w:p w14:paraId="553F3C8E">
      <w:pPr>
        <w:ind w:firstLine="640" w:firstLineChars="200"/>
        <w:rPr>
          <w:rFonts w:hint="eastAsia" w:ascii="仿宋_GB2312" w:hAnsi="Calibri" w:eastAsia="仿宋_GB2312" w:cs="仿宋"/>
          <w:color w:val="auto"/>
          <w:sz w:val="32"/>
          <w:szCs w:val="32"/>
          <w:lang w:val="en-US" w:eastAsia="zh-CN"/>
        </w:rPr>
      </w:pPr>
      <w:r>
        <w:rPr>
          <w:rFonts w:hint="eastAsia" w:ascii="仿宋_GB2312" w:hAnsi="Calibri" w:eastAsia="仿宋_GB2312" w:cs="仿宋"/>
          <w:color w:val="auto"/>
          <w:sz w:val="32"/>
          <w:szCs w:val="32"/>
          <w:lang w:val="en-US" w:eastAsia="zh-CN"/>
        </w:rPr>
        <w:t>企业</w:t>
      </w:r>
      <w:r>
        <w:rPr>
          <w:rFonts w:hint="eastAsia" w:ascii="仿宋_GB2312" w:eastAsia="仿宋_GB2312" w:cs="仿宋"/>
          <w:color w:val="auto"/>
          <w:sz w:val="32"/>
          <w:szCs w:val="32"/>
          <w:lang w:val="en-US" w:eastAsia="zh-CN"/>
        </w:rPr>
        <w:t>如首次评估准备不充分、或</w:t>
      </w:r>
      <w:bookmarkStart w:id="0" w:name="_GoBack"/>
      <w:bookmarkEnd w:id="0"/>
      <w:r>
        <w:rPr>
          <w:rFonts w:hint="eastAsia" w:ascii="仿宋_GB2312" w:hAnsi="Calibri" w:eastAsia="仿宋_GB2312" w:cs="仿宋"/>
          <w:color w:val="auto"/>
          <w:sz w:val="32"/>
          <w:szCs w:val="32"/>
          <w:lang w:val="en-US" w:eastAsia="zh-CN"/>
        </w:rPr>
        <w:t>对专家</w:t>
      </w:r>
      <w:r>
        <w:rPr>
          <w:rFonts w:hint="eastAsia" w:ascii="仿宋_GB2312" w:eastAsia="仿宋_GB2312" w:cs="仿宋"/>
          <w:color w:val="auto"/>
          <w:sz w:val="32"/>
          <w:szCs w:val="32"/>
          <w:lang w:val="en-US" w:eastAsia="zh-CN"/>
        </w:rPr>
        <w:t>评估</w:t>
      </w:r>
      <w:r>
        <w:rPr>
          <w:rFonts w:hint="eastAsia" w:ascii="仿宋_GB2312" w:hAnsi="Calibri" w:eastAsia="仿宋_GB2312" w:cs="仿宋"/>
          <w:color w:val="auto"/>
          <w:sz w:val="32"/>
          <w:szCs w:val="32"/>
          <w:lang w:val="en-US" w:eastAsia="zh-CN"/>
        </w:rPr>
        <w:t>意见有异议的，须在现场</w:t>
      </w:r>
      <w:r>
        <w:rPr>
          <w:rFonts w:hint="eastAsia" w:ascii="仿宋_GB2312" w:eastAsia="仿宋_GB2312" w:cs="仿宋"/>
          <w:color w:val="auto"/>
          <w:sz w:val="32"/>
          <w:szCs w:val="32"/>
          <w:lang w:val="en-US" w:eastAsia="zh-CN"/>
        </w:rPr>
        <w:t>评估</w:t>
      </w:r>
      <w:r>
        <w:rPr>
          <w:rFonts w:hint="eastAsia" w:ascii="仿宋_GB2312" w:hAnsi="Calibri" w:eastAsia="仿宋_GB2312" w:cs="仿宋"/>
          <w:color w:val="auto"/>
          <w:sz w:val="32"/>
          <w:szCs w:val="32"/>
          <w:lang w:val="en-US" w:eastAsia="zh-CN"/>
        </w:rPr>
        <w:t>次日起</w:t>
      </w:r>
      <w:r>
        <w:rPr>
          <w:rFonts w:hint="eastAsia" w:ascii="仿宋_GB2312" w:eastAsia="仿宋_GB2312" w:cs="仿宋"/>
          <w:color w:val="auto"/>
          <w:sz w:val="32"/>
          <w:szCs w:val="32"/>
          <w:lang w:val="en-US" w:eastAsia="zh-CN"/>
        </w:rPr>
        <w:t>10</w:t>
      </w:r>
      <w:r>
        <w:rPr>
          <w:rFonts w:hint="eastAsia" w:ascii="仿宋_GB2312" w:hAnsi="Calibri" w:eastAsia="仿宋_GB2312" w:cs="仿宋"/>
          <w:color w:val="auto"/>
          <w:sz w:val="32"/>
          <w:szCs w:val="32"/>
          <w:lang w:val="en-US" w:eastAsia="zh-CN"/>
        </w:rPr>
        <w:t>个工作日内向</w:t>
      </w:r>
      <w:r>
        <w:rPr>
          <w:rFonts w:hint="eastAsia" w:ascii="仿宋_GB2312" w:eastAsia="仿宋_GB2312" w:cs="仿宋"/>
          <w:color w:val="auto"/>
          <w:sz w:val="32"/>
          <w:szCs w:val="32"/>
          <w:lang w:val="en-US" w:eastAsia="zh-CN"/>
        </w:rPr>
        <w:t>评估机构</w:t>
      </w:r>
      <w:r>
        <w:rPr>
          <w:rFonts w:hint="eastAsia" w:ascii="仿宋_GB2312" w:hAnsi="Calibri" w:eastAsia="仿宋_GB2312" w:cs="仿宋"/>
          <w:color w:val="auto"/>
          <w:sz w:val="32"/>
          <w:szCs w:val="32"/>
          <w:lang w:val="en-US" w:eastAsia="zh-CN"/>
        </w:rPr>
        <w:t>提交书面</w:t>
      </w:r>
      <w:r>
        <w:rPr>
          <w:rFonts w:hint="eastAsia" w:ascii="仿宋_GB2312" w:eastAsia="仿宋_GB2312" w:cs="仿宋"/>
          <w:color w:val="auto"/>
          <w:sz w:val="32"/>
          <w:szCs w:val="32"/>
          <w:lang w:val="en-US" w:eastAsia="zh-CN"/>
        </w:rPr>
        <w:t>申请，</w:t>
      </w:r>
      <w:r>
        <w:rPr>
          <w:rFonts w:hint="eastAsia" w:ascii="仿宋_GB2312" w:hAnsi="Calibri" w:eastAsia="仿宋_GB2312" w:cs="仿宋"/>
          <w:color w:val="auto"/>
          <w:sz w:val="32"/>
          <w:szCs w:val="32"/>
          <w:lang w:val="en-US" w:eastAsia="zh-CN"/>
        </w:rPr>
        <w:t>说明</w:t>
      </w:r>
      <w:r>
        <w:rPr>
          <w:rFonts w:hint="eastAsia" w:ascii="仿宋_GB2312" w:eastAsia="仿宋_GB2312" w:cs="仿宋"/>
          <w:color w:val="auto"/>
          <w:sz w:val="32"/>
          <w:szCs w:val="32"/>
          <w:lang w:val="en-US" w:eastAsia="zh-CN"/>
        </w:rPr>
        <w:t>再次评估</w:t>
      </w:r>
      <w:r>
        <w:rPr>
          <w:rFonts w:hint="eastAsia" w:ascii="仿宋_GB2312" w:hAnsi="Calibri" w:eastAsia="仿宋_GB2312" w:cs="仿宋"/>
          <w:color w:val="auto"/>
          <w:sz w:val="32"/>
          <w:szCs w:val="32"/>
          <w:lang w:val="en-US" w:eastAsia="zh-CN"/>
        </w:rPr>
        <w:t>的理由，并</w:t>
      </w:r>
      <w:r>
        <w:rPr>
          <w:rFonts w:hint="eastAsia" w:ascii="仿宋_GB2312" w:eastAsia="仿宋_GB2312" w:cs="仿宋"/>
          <w:color w:val="auto"/>
          <w:sz w:val="32"/>
          <w:szCs w:val="32"/>
          <w:lang w:val="en-US" w:eastAsia="zh-CN"/>
        </w:rPr>
        <w:t>提供补充佐证</w:t>
      </w:r>
      <w:r>
        <w:rPr>
          <w:rFonts w:hint="eastAsia" w:ascii="仿宋_GB2312" w:hAnsi="Calibri" w:eastAsia="仿宋_GB2312" w:cs="仿宋"/>
          <w:color w:val="auto"/>
          <w:sz w:val="32"/>
          <w:szCs w:val="32"/>
          <w:lang w:val="en-US" w:eastAsia="zh-CN"/>
        </w:rPr>
        <w:t>。</w:t>
      </w:r>
      <w:r>
        <w:rPr>
          <w:rFonts w:hint="eastAsia" w:ascii="仿宋_GB2312" w:eastAsia="仿宋_GB2312" w:cs="仿宋"/>
          <w:color w:val="auto"/>
          <w:sz w:val="32"/>
          <w:szCs w:val="32"/>
          <w:lang w:val="en-US" w:eastAsia="zh-CN"/>
        </w:rPr>
        <w:t>再次评估原则上只</w:t>
      </w:r>
      <w:r>
        <w:rPr>
          <w:rFonts w:hint="eastAsia" w:ascii="仿宋_GB2312" w:hAnsi="Calibri" w:eastAsia="仿宋_GB2312" w:cs="仿宋"/>
          <w:color w:val="auto"/>
          <w:sz w:val="32"/>
          <w:szCs w:val="32"/>
          <w:lang w:val="en-US" w:eastAsia="zh-CN"/>
        </w:rPr>
        <w:t>进行一次。</w:t>
      </w:r>
    </w:p>
    <w:p w14:paraId="3FCD752B">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lang w:eastAsia="zh-CN"/>
        </w:rPr>
        <w:t>、评估收费标准</w:t>
      </w:r>
    </w:p>
    <w:p w14:paraId="3173BA15">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（一）专家费</w:t>
      </w:r>
    </w:p>
    <w:p w14:paraId="5F50B192">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1.根据《厦门市科技工作专家评审费及咨询费管理办法的通知》（厦科联〔2020〕13号），专家费为500元/人.半天。专家组3-5人，一般情况3人，涉及领域多则5人。</w:t>
      </w:r>
    </w:p>
    <w:p w14:paraId="4B5D0E63">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2.企业在评估结束后现场将专家费交给评估工作人员，由工作人员发放（为避免影响评估的客观公正性，企业不可直接给专家）。</w:t>
      </w:r>
    </w:p>
    <w:p w14:paraId="4043589F">
      <w:pPr>
        <w:pStyle w:val="7"/>
        <w:keepNext w:val="0"/>
        <w:keepLines w:val="0"/>
        <w:pageBreakBefore w:val="0"/>
        <w:widowControl/>
        <w:kinsoku/>
        <w:wordWrap/>
        <w:overflowPunct/>
        <w:topLinePunct w:val="0"/>
        <w:autoSpaceDE/>
        <w:autoSpaceDN/>
        <w:bidi w:val="0"/>
        <w:adjustRightInd/>
        <w:snapToGrid/>
        <w:spacing w:line="560" w:lineRule="exact"/>
        <w:ind w:firstLine="649" w:firstLineChars="202"/>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（二）评估费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439"/>
        <w:gridCol w:w="2861"/>
      </w:tblGrid>
      <w:tr w14:paraId="1CA0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14:paraId="32E301F8">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企业类别</w:t>
            </w:r>
          </w:p>
        </w:tc>
        <w:tc>
          <w:tcPr>
            <w:tcW w:w="2439" w:type="dxa"/>
            <w:noWrap w:val="0"/>
            <w:vAlign w:val="center"/>
          </w:tcPr>
          <w:p w14:paraId="48D67500">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评估时间（半天）</w:t>
            </w:r>
          </w:p>
        </w:tc>
        <w:tc>
          <w:tcPr>
            <w:tcW w:w="2861" w:type="dxa"/>
            <w:noWrap w:val="0"/>
            <w:vAlign w:val="center"/>
          </w:tcPr>
          <w:p w14:paraId="4A4CBB3F">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评估时间（一天）</w:t>
            </w:r>
          </w:p>
        </w:tc>
      </w:tr>
      <w:tr w14:paraId="189B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14:paraId="771E4D11">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非会员企业</w:t>
            </w:r>
          </w:p>
        </w:tc>
        <w:tc>
          <w:tcPr>
            <w:tcW w:w="2439" w:type="dxa"/>
            <w:noWrap w:val="0"/>
            <w:vAlign w:val="center"/>
          </w:tcPr>
          <w:p w14:paraId="46B9BF91">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eastAsia="zh-CN"/>
              </w:rPr>
              <w:t>000元/家</w:t>
            </w:r>
          </w:p>
        </w:tc>
        <w:tc>
          <w:tcPr>
            <w:tcW w:w="2861" w:type="dxa"/>
            <w:noWrap w:val="0"/>
            <w:vAlign w:val="center"/>
          </w:tcPr>
          <w:p w14:paraId="3E3C1332">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eastAsia="zh-CN"/>
              </w:rPr>
              <w:t>500元/家</w:t>
            </w:r>
          </w:p>
        </w:tc>
      </w:tr>
      <w:tr w14:paraId="0D57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14:paraId="32E8D161">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普通会员企业</w:t>
            </w:r>
          </w:p>
        </w:tc>
        <w:tc>
          <w:tcPr>
            <w:tcW w:w="2439" w:type="dxa"/>
            <w:noWrap w:val="0"/>
            <w:vAlign w:val="center"/>
          </w:tcPr>
          <w:p w14:paraId="56F63158">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2000元/家</w:t>
            </w:r>
          </w:p>
        </w:tc>
        <w:tc>
          <w:tcPr>
            <w:tcW w:w="2861" w:type="dxa"/>
            <w:noWrap w:val="0"/>
            <w:vAlign w:val="center"/>
          </w:tcPr>
          <w:p w14:paraId="1A575E5A">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2500元/家</w:t>
            </w:r>
          </w:p>
        </w:tc>
      </w:tr>
      <w:tr w14:paraId="0D3B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14:paraId="3DFB369B">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理事单位企业</w:t>
            </w:r>
          </w:p>
        </w:tc>
        <w:tc>
          <w:tcPr>
            <w:tcW w:w="2439" w:type="dxa"/>
            <w:noWrap w:val="0"/>
            <w:vAlign w:val="center"/>
          </w:tcPr>
          <w:p w14:paraId="46C2203F">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1000元/家</w:t>
            </w:r>
          </w:p>
        </w:tc>
        <w:tc>
          <w:tcPr>
            <w:tcW w:w="2861" w:type="dxa"/>
            <w:noWrap w:val="0"/>
            <w:vAlign w:val="center"/>
          </w:tcPr>
          <w:p w14:paraId="6D180986">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1500元/家</w:t>
            </w:r>
          </w:p>
        </w:tc>
      </w:tr>
      <w:tr w14:paraId="0DAE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14:paraId="3C145F61">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副会长单位企业</w:t>
            </w:r>
          </w:p>
        </w:tc>
        <w:tc>
          <w:tcPr>
            <w:tcW w:w="2439" w:type="dxa"/>
            <w:noWrap w:val="0"/>
            <w:vAlign w:val="center"/>
          </w:tcPr>
          <w:p w14:paraId="5DC8ACCD">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0元/家</w:t>
            </w:r>
          </w:p>
        </w:tc>
        <w:tc>
          <w:tcPr>
            <w:tcW w:w="2861" w:type="dxa"/>
            <w:noWrap w:val="0"/>
            <w:vAlign w:val="center"/>
          </w:tcPr>
          <w:p w14:paraId="20869DFC">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500元/家</w:t>
            </w:r>
          </w:p>
        </w:tc>
      </w:tr>
    </w:tbl>
    <w:p w14:paraId="05B5A98E">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评估费请以转账方式缴纳。</w:t>
      </w:r>
    </w:p>
    <w:p w14:paraId="3730F465">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收款单位：厦门市技术创新协会</w:t>
      </w:r>
    </w:p>
    <w:p w14:paraId="7E6CAD10">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开户银行：中国光大银行股份有限公司厦门厦大支行</w:t>
      </w:r>
    </w:p>
    <w:p w14:paraId="7AEF9C00">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账    号：3752 0188 0000 13227</w:t>
      </w:r>
    </w:p>
    <w:p w14:paraId="1FBB8B5F">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 w:cs="仿宋"/>
          <w:sz w:val="32"/>
          <w:szCs w:val="32"/>
          <w:lang w:val="en-US" w:eastAsia="zh-CN"/>
        </w:rPr>
      </w:pPr>
    </w:p>
    <w:p w14:paraId="69ECC12A">
      <w:pPr>
        <w:pStyle w:val="3"/>
        <w:ind w:firstLine="627" w:firstLineChars="196"/>
        <w:rPr>
          <w:rFonts w:hint="eastAsia" w:ascii="仿宋" w:eastAsia="仿宋" w:cs="仿宋"/>
          <w:kern w:val="2"/>
          <w:sz w:val="32"/>
          <w:szCs w:val="32"/>
        </w:rPr>
      </w:pPr>
    </w:p>
    <w:p w14:paraId="25A0418B">
      <w:pPr>
        <w:jc w:val="center"/>
        <w:rPr>
          <w:rFonts w:hint="eastAsia" w:ascii="宋体" w:hAnsi="宋体" w:cs="黑体"/>
          <w:b/>
          <w:bCs/>
          <w:sz w:val="44"/>
          <w:szCs w:val="4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D79697A"/>
    <w:rsid w:val="01FD3638"/>
    <w:rsid w:val="0D015A1F"/>
    <w:rsid w:val="0D79697A"/>
    <w:rsid w:val="19BD05F8"/>
    <w:rsid w:val="1E5B7D32"/>
    <w:rsid w:val="224D4BAF"/>
    <w:rsid w:val="256C6A12"/>
    <w:rsid w:val="2D674348"/>
    <w:rsid w:val="3A172B71"/>
    <w:rsid w:val="46BB2689"/>
    <w:rsid w:val="495C090B"/>
    <w:rsid w:val="557D37DA"/>
    <w:rsid w:val="5749113D"/>
    <w:rsid w:val="57731E7F"/>
    <w:rsid w:val="60EE4829"/>
    <w:rsid w:val="66680AE2"/>
    <w:rsid w:val="67772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Normal (Web)"/>
    <w:basedOn w:val="1"/>
    <w:qFormat/>
    <w:uiPriority w:val="0"/>
    <w:pPr>
      <w:jc w:val="left"/>
    </w:pPr>
    <w:rPr>
      <w:kern w:val="0"/>
      <w:sz w:val="24"/>
      <w:szCs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2028</Words>
  <Characters>2119</Characters>
  <Lines>0</Lines>
  <Paragraphs>0</Paragraphs>
  <TotalTime>6</TotalTime>
  <ScaleCrop>false</ScaleCrop>
  <LinksUpToDate>false</LinksUpToDate>
  <CharactersWithSpaces>2126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2021-11-19T03:41:00Z</dcterms:created>
  <dc:creator>祝Zoo～</dc:creator>
  <cp:lastModifiedBy>陈老猫</cp:lastModifiedBy>
  <cp:lastPrinted>2021-11-22T07:37:00Z</cp:lastPrinted>
  <dcterms:modified xsi:type="dcterms:W3CDTF">2025-07-29T09:24:16Z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5C731D4130CE43E696F9D5FDB96B3B70_13</vt:lpwstr>
  </property>
  <property fmtid="{D5CDD505-2E9C-101B-9397-08002B2CF9AE}" pid="4" name="KSOTemplateDocerSaveRecord">
    <vt:lpwstr>eyJoZGlkIjoiMzEwNTM5NzYwMDRjMzkwZTVkZjY2ODkwMGIxNGU0OTUiLCJ1c2VySWQiOiIyNjMwNDAxNTkifQ==</vt:lpwstr>
  </property>
</Properties>
</file>